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0" w:leftChars="0" w:firstLine="0" w:firstLineChars="0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20" w:lineRule="exact"/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</w:t>
      </w:r>
      <w:r>
        <w:rPr>
          <w:rFonts w:ascii="方正小标宋简体" w:hAnsi="方正小标宋简体" w:eastAsia="方正小标宋简体" w:cs="方正小标宋简体"/>
          <w:sz w:val="44"/>
        </w:rPr>
        <w:t>年基层科普行动计划（本级）项目绩效自评报告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spacing w:before="188" w:line="204" w:lineRule="auto"/>
        <w:ind w:firstLine="577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spacing w:val="3"/>
          <w:sz w:val="30"/>
          <w:szCs w:val="30"/>
        </w:rPr>
        <w:t>（一）项目基本情况简介。</w:t>
      </w:r>
    </w:p>
    <w:p>
      <w:pPr>
        <w:spacing w:line="620" w:lineRule="exact"/>
        <w:ind w:left="0" w:leftChars="0" w:firstLine="600" w:firstLineChars="200"/>
        <w:jc w:val="both"/>
        <w:rPr>
          <w:rFonts w:hint="eastAsia" w:ascii="仿宋"/>
          <w:sz w:val="32"/>
        </w:rPr>
      </w:pPr>
      <w:r>
        <w:rPr>
          <w:rFonts w:hint="eastAsia" w:ascii="仿宋"/>
          <w:sz w:val="30"/>
          <w:szCs w:val="30"/>
        </w:rPr>
        <w:t>本年度计划使用</w:t>
      </w:r>
      <w:r>
        <w:rPr>
          <w:rFonts w:hint="eastAsia" w:ascii="仿宋"/>
          <w:sz w:val="30"/>
          <w:szCs w:val="30"/>
          <w:lang w:val="en-US" w:eastAsia="zh-CN"/>
        </w:rPr>
        <w:t>41.9</w:t>
      </w:r>
      <w:r>
        <w:rPr>
          <w:rFonts w:hint="eastAsia" w:ascii="仿宋"/>
          <w:sz w:val="30"/>
          <w:szCs w:val="30"/>
        </w:rPr>
        <w:t>万元，用于开展提升重点人群专项活动、青少年科技创新后备人才培养试点项目，全国科普教育基地建设、《科技报》订阅以及流动科技馆巡展活动</w:t>
      </w:r>
      <w:r>
        <w:rPr>
          <w:rFonts w:hint="eastAsia" w:ascii="仿宋"/>
          <w:sz w:val="30"/>
          <w:szCs w:val="30"/>
        </w:rPr>
        <w:cr/>
      </w:r>
    </w:p>
    <w:p>
      <w:pPr>
        <w:numPr>
          <w:ilvl w:val="0"/>
          <w:numId w:val="2"/>
        </w:numPr>
        <w:spacing w:before="188" w:line="204" w:lineRule="auto"/>
        <w:ind w:firstLine="577"/>
        <w:jc w:val="both"/>
        <w:rPr>
          <w:rFonts w:ascii="仿宋" w:hAnsi="仿宋" w:eastAsia="仿宋" w:cs="仿宋"/>
          <w:spacing w:val="8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绩效目标设定及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指标</w:t>
      </w:r>
      <w:r>
        <w:rPr>
          <w:rFonts w:ascii="仿宋" w:hAnsi="仿宋" w:eastAsia="仿宋" w:cs="仿宋"/>
          <w:spacing w:val="8"/>
          <w:sz w:val="30"/>
          <w:szCs w:val="30"/>
        </w:rPr>
        <w:t>完成情况。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jc w:val="both"/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预期目标：</w:t>
      </w:r>
      <w:r>
        <w:rPr>
          <w:rFonts w:ascii="仿宋" w:hAnsi="仿宋" w:eastAsia="仿宋" w:cs="仿宋"/>
          <w:color w:val="auto"/>
          <w:spacing w:val="8"/>
          <w:sz w:val="30"/>
        </w:rPr>
        <w:t>本年度计划使用41.9万元，用于开展青少年科技创新后备人才培养试点项目，《科技报》订阅活动。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jc w:val="both"/>
        <w:rPr>
          <w:rFonts w:ascii="仿宋" w:hAnsi="仿宋" w:eastAsia="仿宋" w:cs="仿宋"/>
          <w:color w:val="auto"/>
          <w:spacing w:val="8"/>
          <w:sz w:val="30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szCs w:val="30"/>
          <w:lang w:val="en-US" w:eastAsia="zh-CN"/>
        </w:rPr>
        <w:t>绩效目标实际完成情况：</w:t>
      </w:r>
      <w:r>
        <w:rPr>
          <w:rFonts w:ascii="仿宋" w:hAnsi="仿宋" w:eastAsia="仿宋" w:cs="仿宋"/>
          <w:color w:val="auto"/>
          <w:spacing w:val="8"/>
          <w:sz w:val="30"/>
        </w:rPr>
        <w:t>已完成项目指标任务。</w:t>
      </w:r>
    </w:p>
    <w:p>
      <w:pPr>
        <w:numPr>
          <w:ilvl w:val="0"/>
          <w:numId w:val="0"/>
        </w:numPr>
        <w:spacing w:before="188" w:line="204" w:lineRule="auto"/>
        <w:ind w:left="420" w:leftChars="0" w:firstLine="420" w:firstLineChars="0"/>
        <w:jc w:val="both"/>
        <w:rPr>
          <w:rFonts w:hint="eastAsia" w:ascii="仿宋" w:hAnsi="仿宋" w:eastAsia="仿宋" w:cs="仿宋"/>
          <w:color w:val="auto"/>
          <w:spacing w:val="8"/>
          <w:sz w:val="30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绩效自评工作</w:t>
      </w:r>
      <w:r>
        <w:rPr>
          <w:rFonts w:hint="eastAsia" w:ascii="仿宋" w:hAnsi="仿宋" w:eastAsia="仿宋"/>
          <w:b/>
          <w:sz w:val="32"/>
          <w:szCs w:val="32"/>
        </w:rPr>
        <w:t>情况</w:t>
      </w:r>
    </w:p>
    <w:p>
      <w:pPr>
        <w:numPr>
          <w:ilvl w:val="0"/>
          <w:numId w:val="3"/>
        </w:numPr>
        <w:spacing w:before="188" w:line="204" w:lineRule="auto"/>
        <w:ind w:firstLine="577"/>
        <w:jc w:val="both"/>
        <w:rPr>
          <w:rFonts w:ascii="仿宋" w:hAnsi="仿宋" w:eastAsia="仿宋" w:cs="仿宋"/>
          <w:spacing w:val="1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绩效自评目的。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通过对我单位预算支出绩效目标的设置情况、资金使用情况、资金实施管理情况、整体支出绩效表现情况进行自我评价，了解资金使用是否达到了预期目标、资金管理是否规范、资金使用是否有效，检验资金支出效率和效果，分析存在的问题和原因，及时总结经验，改进管理措施，不断增强和落实绩效管理责任，完善工作机制，有效提高资金管理水平和使用效益，进一步提升绩效管理水平，强化支出责任，提高财政资金使用效益。</w:t>
      </w:r>
    </w:p>
    <w:p>
      <w:pPr>
        <w:numPr>
          <w:ilvl w:val="0"/>
          <w:numId w:val="3"/>
        </w:numPr>
        <w:spacing w:before="189" w:line="204" w:lineRule="auto"/>
        <w:ind w:left="0" w:leftChars="0" w:firstLine="616" w:firstLineChars="200"/>
        <w:jc w:val="both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项目资金投入情况。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jc w:val="both"/>
        <w:textAlignment w:val="baseline"/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本年度资金年初预算数</w:t>
      </w:r>
      <w:r>
        <w:rPr>
          <w:rFonts w:ascii="仿宋" w:hAnsi="仿宋" w:eastAsia="仿宋" w:cs="仿宋"/>
          <w:color w:val="auto"/>
          <w:spacing w:val="4"/>
          <w:sz w:val="30"/>
        </w:rPr>
        <w:t>41.90万元，其中：财政拨款41.90万元，其他资金0.00万元。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12" w:lineRule="auto"/>
        <w:ind w:left="420" w:leftChars="0" w:firstLine="420" w:firstLineChars="0"/>
        <w:jc w:val="both"/>
        <w:textAlignment w:val="baseline"/>
        <w:rPr>
          <w:rFonts w:hint="default" w:ascii="仿宋" w:hAnsi="仿宋" w:eastAsia="仿宋" w:cs="仿宋"/>
          <w:color w:val="auto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本年度资金全年预算数</w:t>
      </w:r>
      <w:r>
        <w:rPr>
          <w:rFonts w:ascii="仿宋" w:hAnsi="仿宋" w:eastAsia="仿宋" w:cs="仿宋"/>
          <w:color w:val="auto"/>
          <w:spacing w:val="4"/>
          <w:sz w:val="30"/>
        </w:rPr>
        <w:t>41.90万元，其中：财政拨款41.90万元，其他资金0.00万元。</w:t>
      </w:r>
    </w:p>
    <w:p>
      <w:pPr>
        <w:numPr>
          <w:ilvl w:val="0"/>
          <w:numId w:val="0"/>
        </w:numPr>
        <w:spacing w:before="189" w:line="204" w:lineRule="auto"/>
        <w:ind w:leftChars="200"/>
        <w:jc w:val="both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本年度资金全年执行数</w:t>
      </w:r>
      <w:r>
        <w:rPr>
          <w:rFonts w:ascii="仿宋" w:hAnsi="仿宋" w:eastAsia="仿宋" w:cs="仿宋"/>
          <w:color w:val="auto"/>
          <w:spacing w:val="4"/>
          <w:sz w:val="30"/>
        </w:rPr>
        <w:t>41.90万元，其中：财政拨款41.90万元，其他资金0.00万元。</w:t>
      </w:r>
    </w:p>
    <w:p>
      <w:pPr>
        <w:numPr>
          <w:ilvl w:val="0"/>
          <w:numId w:val="3"/>
        </w:numPr>
        <w:spacing w:before="188" w:line="204" w:lineRule="auto"/>
        <w:ind w:left="0" w:leftChars="0" w:firstLine="616" w:firstLineChars="200"/>
        <w:jc w:val="both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项目资金产出情况。</w:t>
      </w:r>
    </w:p>
    <w:p>
      <w:pPr>
        <w:keepNext w:val="0"/>
        <w:keepLines w:val="0"/>
        <w:widowControl/>
        <w:suppressLineNumbers w:val="0"/>
        <w:jc w:val="both"/>
        <w:rPr>
          <w:rFonts w:ascii="仿宋" w:hAnsi="仿宋" w:eastAsia="仿宋" w:cs="仿宋"/>
          <w:spacing w:val="4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2023年基层科普行动计划（本级）上级下达资金69万元，资金全部来源于财政拨款。2023年项目资金实际到位41.9万元,2023年已按项目计划支付41.9万元，剩余资金27.1元。本项目用于进行开展青少年科技创新后备人才培养试点项目，《科技报》订阅活动、提升重点人群科学素质等。本项目在2023年12月31日前完成订阅了962份《科技报》，组织了5所中学参与到后备人才培养中，培养学员50人次，有效保障了提高观展群众知识面，持续提高了受众科学素养；有效提高了中学生科学素养，持续提升普及了高一高二学生科学知识传播科学文化积极性。</w:t>
      </w:r>
    </w:p>
    <w:p>
      <w:pPr>
        <w:numPr>
          <w:ilvl w:val="0"/>
          <w:numId w:val="3"/>
        </w:numPr>
        <w:spacing w:before="189" w:line="204" w:lineRule="auto"/>
        <w:ind w:left="0" w:leftChars="0" w:firstLine="608" w:firstLineChars="200"/>
        <w:jc w:val="both"/>
        <w:rPr>
          <w:rFonts w:ascii="仿宋" w:hAnsi="仿宋" w:eastAsia="仿宋" w:cs="仿宋"/>
          <w:spacing w:val="2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项目资金管理情况。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jc w:val="both"/>
        <w:rPr>
          <w:rFonts w:hint="default" w:ascii="仿宋" w:hAnsi="仿宋" w:eastAsia="仿宋" w:cs="仿宋"/>
          <w:spacing w:val="1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在资金预算、资金使用、资金安排、申报和审查、监督与管理等方面进行全面完善，以适应当前形势和实际。2、加强预算管理，在年初做好全年安排并严格执行。3、加强对项目的审查，根据预算安排，严格按照确定的程序进行支出。4、加强监督和绩效评价，及时组织对项目资金到位和使用情况进行跟踪，确保资金专款专用；有效提高资金管理水平和使用效益，进一步提升绩效管理水平，强化支出责任，提高财政资金使用效益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仿宋" w:hAnsi="仿宋" w:eastAsia="仿宋" w:cs="仿宋"/>
          <w:spacing w:val="1"/>
          <w:sz w:val="30"/>
          <w:szCs w:val="30"/>
        </w:rPr>
      </w:pPr>
    </w:p>
    <w:p>
      <w:pPr>
        <w:numPr>
          <w:ilvl w:val="0"/>
          <w:numId w:val="1"/>
        </w:numPr>
        <w:spacing w:line="240" w:lineRule="auto"/>
        <w:ind w:left="0" w:firstLine="0" w:firstLineChars="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项目绩效情况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产出指标完成情况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1、数量指标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1)订阅科技报份数，目标值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962</w:t>
      </w:r>
      <w:r>
        <w:rPr>
          <w:rFonts w:ascii="仿宋" w:hAnsi="仿宋" w:eastAsia="仿宋" w:cs="仿宋"/>
          <w:sz w:val="32"/>
        </w:rPr>
        <w:t>份，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962份，分值3，得分3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2)参与培养学校数，目标值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 w:cs="仿宋"/>
          <w:sz w:val="32"/>
        </w:rPr>
        <w:t>所，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5所，分值4，得分4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3)培养学员人数，目标值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50</w:t>
      </w:r>
      <w:r>
        <w:rPr>
          <w:rFonts w:ascii="仿宋" w:hAnsi="仿宋" w:eastAsia="仿宋" w:cs="仿宋"/>
          <w:sz w:val="32"/>
        </w:rPr>
        <w:t>人次，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50人次，分值4，得分4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4)培养周期内到校参加培养活动数，目标值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 w:cs="仿宋"/>
          <w:sz w:val="32"/>
        </w:rPr>
        <w:t>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10次，分值4，得分4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2、质量指标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5)每月导师面授完成率，目标值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80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6)每年学生提交课题报告培养报告成长日志完成率，目标值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80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7)报刊订阅及时率，目标值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75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25%，分值5，得分1.67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3、时效指标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8)报刊订阅完成时间，目标值</w:t>
      </w:r>
      <w:r>
        <w:rPr>
          <w:rFonts w:hint="eastAsia" w:ascii="仿宋" w:hAnsi="仿宋" w:eastAsia="仿宋"/>
          <w:sz w:val="32"/>
          <w:szCs w:val="32"/>
        </w:rPr>
        <w:t>2023年12月31日前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2023年12月15日，分值5，得分5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9)后备人才培养完成时间，目标值</w:t>
      </w:r>
      <w:r>
        <w:rPr>
          <w:rFonts w:hint="eastAsia" w:ascii="仿宋" w:hAnsi="仿宋" w:eastAsia="仿宋"/>
          <w:sz w:val="32"/>
          <w:szCs w:val="32"/>
        </w:rPr>
        <w:t>2023年12月31日前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2023年12月31日，分值5，得分5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4、成本指标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10)订阅科技报费用，目标值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4万元，分值2，得分2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11)导师培训费，目标值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35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34.3万元，分值2，得分2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12)面试活动费，目标值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1.5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1.5万元，分值2，得分2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13)中期评价费，目标值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1.8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1.8万元，分值2，得分2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14)宣讲活动费，目标值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小于等于</w:t>
      </w:r>
      <w:r>
        <w:rPr>
          <w:rFonts w:hint="eastAsia" w:ascii="仿宋" w:hAnsi="仿宋" w:eastAsia="仿宋"/>
          <w:sz w:val="32"/>
          <w:szCs w:val="32"/>
        </w:rPr>
        <w:t>0.3</w:t>
      </w:r>
      <w:r>
        <w:rPr>
          <w:rFonts w:ascii="仿宋" w:hAnsi="仿宋" w:eastAsia="仿宋" w:cs="仿宋"/>
          <w:sz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0.3万元，分值2，得分2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效益指标完成情况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5、经济效益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6、社会效益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15)提高观展群众知识面，目标值</w:t>
      </w:r>
      <w:r>
        <w:rPr>
          <w:rFonts w:hint="eastAsia" w:ascii="仿宋" w:hAnsi="仿宋" w:eastAsia="仿宋"/>
          <w:sz w:val="32"/>
          <w:szCs w:val="32"/>
        </w:rPr>
        <w:t>有效保障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有效保障，分值7.5，得分7.5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16)提高中学生科学素养，目标值</w:t>
      </w:r>
      <w:r>
        <w:rPr>
          <w:rFonts w:hint="eastAsia" w:ascii="仿宋" w:hAnsi="仿宋" w:eastAsia="仿宋"/>
          <w:sz w:val="32"/>
          <w:szCs w:val="32"/>
        </w:rPr>
        <w:t>有效提高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有效提高，分值7.5，得分7.5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7、生态效益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8、可持续影响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17)持续提高受众科学素养，目标值</w:t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长期，分值7.5，得分7.5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18)持续提升普及高一高二学生科学知识传播科学文化积极性，目标值</w:t>
      </w:r>
      <w:r>
        <w:rPr>
          <w:rFonts w:hint="eastAsia" w:ascii="仿宋" w:hAnsi="仿宋" w:eastAsia="仿宋"/>
          <w:sz w:val="32"/>
          <w:szCs w:val="32"/>
        </w:rPr>
        <w:t>长期</w:t>
      </w:r>
      <w:r>
        <w:rPr>
          <w:rFonts w:ascii="仿宋" w:hAnsi="仿宋" w:eastAsia="仿宋" w:cs="仿宋"/>
          <w:sz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长期，分值7.5，得分7.5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满意度指标完成情况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9、服务对象满意度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19)科普受众满意度，目标值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20)学生满意度，目标值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100%，分值3，得分3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</w:rPr>
        <w:t>21)后备人才满意度，目标值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大于等于</w:t>
      </w:r>
      <w:r>
        <w:rPr>
          <w:rFonts w:hint="eastAsia" w:ascii="仿宋" w:hAnsi="仿宋" w:eastAsia="仿宋"/>
          <w:sz w:val="32"/>
          <w:szCs w:val="32"/>
        </w:rPr>
        <w:t>90</w:t>
      </w:r>
      <w:r>
        <w:rPr>
          <w:rFonts w:ascii="仿宋" w:hAnsi="仿宋" w:eastAsia="仿宋" w:cs="仿宋"/>
          <w:sz w:val="32"/>
        </w:rPr>
        <w:t>%，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 w:cs="仿宋"/>
          <w:sz w:val="32"/>
        </w:rPr>
        <w:t>100%，分值4，得分4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20" w:lineRule="exact"/>
        <w:ind w:left="480" w:leftChars="200" w:firstLine="0" w:firstLineChars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自评得分情况</w:t>
      </w:r>
    </w:p>
    <w:p>
      <w:pPr>
        <w:spacing w:line="620" w:lineRule="exact"/>
        <w:jc w:val="both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本项目绩效自评得分</w:t>
      </w:r>
      <w:r>
        <w:rPr>
          <w:rFonts w:ascii="仿宋_GB2312" w:hAnsi="仿宋_GB2312" w:eastAsia="仿宋_GB2312" w:cs="仿宋_GB2312"/>
          <w:sz w:val="32"/>
        </w:rPr>
        <w:t>96.67分，等级为A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firstLine="0" w:firstLineChars="0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存在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numPr>
          <w:ilvl w:val="0"/>
          <w:numId w:val="5"/>
        </w:numPr>
        <w:spacing w:line="240" w:lineRule="auto"/>
        <w:ind w:left="240" w:leftChars="0" w:firstLine="0" w:firstLineChars="0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项目立项、实施存在问题。</w:t>
      </w:r>
    </w:p>
    <w:p>
      <w:pPr>
        <w:numPr>
          <w:numId w:val="0"/>
        </w:numPr>
        <w:spacing w:line="240" w:lineRule="auto"/>
        <w:ind w:firstLine="600" w:firstLineChars="200"/>
        <w:jc w:val="both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未完成及时订阅报刊的指标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。</w:t>
      </w:r>
    </w:p>
    <w:p>
      <w:pPr>
        <w:numPr>
          <w:ilvl w:val="0"/>
          <w:numId w:val="5"/>
        </w:numPr>
        <w:spacing w:line="240" w:lineRule="auto"/>
        <w:ind w:left="240" w:leftChars="0" w:firstLine="0" w:firstLineChars="0"/>
        <w:jc w:val="both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资金管理使用存在问题</w:t>
      </w:r>
    </w:p>
    <w:p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无。</w:t>
      </w:r>
    </w:p>
    <w:p>
      <w:pPr>
        <w:spacing w:line="240" w:lineRule="auto"/>
        <w:ind w:firstLine="0" w:firstLineChars="0"/>
        <w:jc w:val="both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五、其他需要说明的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问题</w:t>
      </w:r>
    </w:p>
    <w:p>
      <w:pPr>
        <w:spacing w:before="188" w:line="204" w:lineRule="auto"/>
        <w:ind w:firstLine="57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（一）后续工作计划。</w:t>
      </w:r>
    </w:p>
    <w:p>
      <w:pPr>
        <w:keepNext w:val="0"/>
        <w:keepLines w:val="0"/>
        <w:widowControl/>
        <w:suppressLineNumbers w:val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pacing w:val="1"/>
          <w:sz w:val="30"/>
          <w:szCs w:val="30"/>
        </w:rPr>
        <w:t>1.此项目为自治区科学技术协会向本地区转移支付的科普专项资金，后续加强预算管理，继续做好转移支付预算的绩效目标申报、监控及评价工作；2.进一步规范预算执行管理，厉行节约，提高资金使用效益；3.将继续按照上级要求做好基层科普行动计划工作，持续强化科普阵地及科普活动和科普队伍建设，进一步提升本地区全民科学素质。</w:t>
      </w:r>
    </w:p>
    <w:p>
      <w:pPr>
        <w:spacing w:before="189" w:line="204" w:lineRule="auto"/>
        <w:ind w:firstLine="577"/>
        <w:jc w:val="both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（二）措施及办法。</w:t>
      </w:r>
    </w:p>
    <w:p>
      <w:pPr>
        <w:spacing w:line="620" w:lineRule="exact"/>
        <w:ind w:left="0" w:leftChars="0" w:firstLine="600" w:firstLineChars="200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调整报刊订阅时间为年底订阅下一年报刊，保证下一年全年的报刊能及时、完整订阅。</w:t>
      </w:r>
    </w:p>
    <w:p>
      <w:pPr>
        <w:spacing w:line="620" w:lineRule="exact"/>
        <w:ind w:left="590" w:firstLine="643"/>
        <w:jc w:val="both"/>
        <w:rPr>
          <w:rFonts w:ascii="仿宋" w:hAnsi="仿宋" w:eastAsia="仿宋"/>
          <w:b/>
          <w:sz w:val="3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CC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</w:p>
  </w:footnote>
  <w:footnote w:type="continuationSeparator" w:id="1">
    <w:p>
      <w:pPr>
        <w:spacing w:line="36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BB1F1"/>
    <w:multiLevelType w:val="multilevel"/>
    <w:tmpl w:val="994BB1F1"/>
    <w:lvl w:ilvl="0" w:tentative="0">
      <w:start w:val="1"/>
      <w:numFmt w:val="japaneseCounting"/>
      <w:lvlText w:val="%1、"/>
      <w:lvlJc w:val="left"/>
      <w:pPr>
        <w:ind w:left="131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0" w:hanging="420"/>
      </w:pPr>
    </w:lvl>
    <w:lvl w:ilvl="2" w:tentative="0">
      <w:start w:val="1"/>
      <w:numFmt w:val="lowerRoman"/>
      <w:lvlText w:val="%3."/>
      <w:lvlJc w:val="right"/>
      <w:pPr>
        <w:ind w:left="1850" w:hanging="420"/>
      </w:pPr>
    </w:lvl>
    <w:lvl w:ilvl="3" w:tentative="0">
      <w:start w:val="1"/>
      <w:numFmt w:val="decimal"/>
      <w:lvlText w:val="%4."/>
      <w:lvlJc w:val="left"/>
      <w:pPr>
        <w:ind w:left="2270" w:hanging="420"/>
      </w:pPr>
    </w:lvl>
    <w:lvl w:ilvl="4" w:tentative="0">
      <w:start w:val="1"/>
      <w:numFmt w:val="lowerLetter"/>
      <w:lvlText w:val="%5)"/>
      <w:lvlJc w:val="left"/>
      <w:pPr>
        <w:ind w:left="2690" w:hanging="420"/>
      </w:pPr>
    </w:lvl>
    <w:lvl w:ilvl="5" w:tentative="0">
      <w:start w:val="1"/>
      <w:numFmt w:val="lowerRoman"/>
      <w:lvlText w:val="%6."/>
      <w:lvlJc w:val="right"/>
      <w:pPr>
        <w:ind w:left="3110" w:hanging="420"/>
      </w:pPr>
    </w:lvl>
    <w:lvl w:ilvl="6" w:tentative="0">
      <w:start w:val="1"/>
      <w:numFmt w:val="decimal"/>
      <w:lvlText w:val="%7."/>
      <w:lvlJc w:val="left"/>
      <w:pPr>
        <w:ind w:left="3530" w:hanging="420"/>
      </w:pPr>
    </w:lvl>
    <w:lvl w:ilvl="7" w:tentative="0">
      <w:start w:val="1"/>
      <w:numFmt w:val="lowerLetter"/>
      <w:lvlText w:val="%8)"/>
      <w:lvlJc w:val="left"/>
      <w:pPr>
        <w:ind w:left="3950" w:hanging="420"/>
      </w:pPr>
    </w:lvl>
    <w:lvl w:ilvl="8" w:tentative="0">
      <w:start w:val="1"/>
      <w:numFmt w:val="lowerRoman"/>
      <w:lvlText w:val="%9."/>
      <w:lvlJc w:val="right"/>
      <w:pPr>
        <w:ind w:left="4370" w:hanging="420"/>
      </w:pPr>
    </w:lvl>
  </w:abstractNum>
  <w:abstractNum w:abstractNumId="1">
    <w:nsid w:val="ADA24D32"/>
    <w:multiLevelType w:val="singleLevel"/>
    <w:tmpl w:val="ADA24D32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2">
    <w:nsid w:val="F5758011"/>
    <w:multiLevelType w:val="singleLevel"/>
    <w:tmpl w:val="F575801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BB8592C"/>
    <w:multiLevelType w:val="singleLevel"/>
    <w:tmpl w:val="FBB859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CF258D6"/>
    <w:multiLevelType w:val="singleLevel"/>
    <w:tmpl w:val="0CF258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zIzZTYxNzYyMTBiMzNiMDUxODg5NTdjYzRiNTU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26752A9"/>
    <w:rsid w:val="03C2244D"/>
    <w:rsid w:val="049C7DEF"/>
    <w:rsid w:val="04A96372"/>
    <w:rsid w:val="04C2697B"/>
    <w:rsid w:val="05156224"/>
    <w:rsid w:val="069550DB"/>
    <w:rsid w:val="06AB7BA4"/>
    <w:rsid w:val="07CB6A82"/>
    <w:rsid w:val="084D2748"/>
    <w:rsid w:val="0C062F64"/>
    <w:rsid w:val="0F0A7121"/>
    <w:rsid w:val="0F18115A"/>
    <w:rsid w:val="0F4B3357"/>
    <w:rsid w:val="0F6F185A"/>
    <w:rsid w:val="0FDC5FFD"/>
    <w:rsid w:val="136923D4"/>
    <w:rsid w:val="15BB6F18"/>
    <w:rsid w:val="1891657A"/>
    <w:rsid w:val="18ED55F2"/>
    <w:rsid w:val="197864DF"/>
    <w:rsid w:val="19A02C16"/>
    <w:rsid w:val="1A674D68"/>
    <w:rsid w:val="1A821FE7"/>
    <w:rsid w:val="1AC32CC4"/>
    <w:rsid w:val="1B9331E7"/>
    <w:rsid w:val="1E674D08"/>
    <w:rsid w:val="1EAB64DA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73E5672"/>
    <w:rsid w:val="288E0795"/>
    <w:rsid w:val="291D29FD"/>
    <w:rsid w:val="2B223F6D"/>
    <w:rsid w:val="2B6F4C9D"/>
    <w:rsid w:val="2C5E2E59"/>
    <w:rsid w:val="2DE23A3A"/>
    <w:rsid w:val="2E8E1287"/>
    <w:rsid w:val="300E3D77"/>
    <w:rsid w:val="30533016"/>
    <w:rsid w:val="30B80E03"/>
    <w:rsid w:val="33255290"/>
    <w:rsid w:val="33D877D8"/>
    <w:rsid w:val="35AE68A5"/>
    <w:rsid w:val="36CD16A7"/>
    <w:rsid w:val="38E64707"/>
    <w:rsid w:val="3A8859B9"/>
    <w:rsid w:val="3ACFBC2D"/>
    <w:rsid w:val="3DE61665"/>
    <w:rsid w:val="3E1153AE"/>
    <w:rsid w:val="3E516972"/>
    <w:rsid w:val="3EE47779"/>
    <w:rsid w:val="404969DC"/>
    <w:rsid w:val="40B53B29"/>
    <w:rsid w:val="41A437D2"/>
    <w:rsid w:val="43CB6518"/>
    <w:rsid w:val="43D60DED"/>
    <w:rsid w:val="44FE14DD"/>
    <w:rsid w:val="49E56F9C"/>
    <w:rsid w:val="4A926FD7"/>
    <w:rsid w:val="4DD15688"/>
    <w:rsid w:val="4F070E89"/>
    <w:rsid w:val="4F374648"/>
    <w:rsid w:val="4F4451D2"/>
    <w:rsid w:val="51237888"/>
    <w:rsid w:val="51BA42A7"/>
    <w:rsid w:val="520F6E89"/>
    <w:rsid w:val="53203621"/>
    <w:rsid w:val="54DA00D3"/>
    <w:rsid w:val="554E0C20"/>
    <w:rsid w:val="568F07C7"/>
    <w:rsid w:val="57252998"/>
    <w:rsid w:val="59B56326"/>
    <w:rsid w:val="5A0C4685"/>
    <w:rsid w:val="5A553285"/>
    <w:rsid w:val="5AB43B01"/>
    <w:rsid w:val="5D55237F"/>
    <w:rsid w:val="5F12091C"/>
    <w:rsid w:val="5FB20796"/>
    <w:rsid w:val="5FBDFEA1"/>
    <w:rsid w:val="5FC44E2D"/>
    <w:rsid w:val="5FD626AD"/>
    <w:rsid w:val="604010EC"/>
    <w:rsid w:val="610E05D3"/>
    <w:rsid w:val="62215294"/>
    <w:rsid w:val="65FC618C"/>
    <w:rsid w:val="660310CC"/>
    <w:rsid w:val="66161B6A"/>
    <w:rsid w:val="66984919"/>
    <w:rsid w:val="66F07E69"/>
    <w:rsid w:val="671B478E"/>
    <w:rsid w:val="676F702D"/>
    <w:rsid w:val="6A582252"/>
    <w:rsid w:val="6AD82D16"/>
    <w:rsid w:val="6B464D38"/>
    <w:rsid w:val="6BDF3DCF"/>
    <w:rsid w:val="6C5075F1"/>
    <w:rsid w:val="6C670BB6"/>
    <w:rsid w:val="6DD40FF8"/>
    <w:rsid w:val="6FAF8CCC"/>
    <w:rsid w:val="71565F3F"/>
    <w:rsid w:val="72502DE7"/>
    <w:rsid w:val="74114A65"/>
    <w:rsid w:val="74DC7A51"/>
    <w:rsid w:val="753554DD"/>
    <w:rsid w:val="75A24B0F"/>
    <w:rsid w:val="76AB03E2"/>
    <w:rsid w:val="76D1210E"/>
    <w:rsid w:val="77AC22DD"/>
    <w:rsid w:val="77B83789"/>
    <w:rsid w:val="78691D8F"/>
    <w:rsid w:val="78F52A46"/>
    <w:rsid w:val="793C6850"/>
    <w:rsid w:val="7ABC43C8"/>
    <w:rsid w:val="7CA67A3C"/>
    <w:rsid w:val="7DAE3E8B"/>
    <w:rsid w:val="7E77AE1E"/>
    <w:rsid w:val="7FB6D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382</Words>
  <Characters>1382</Characters>
  <Lines>16</Lines>
  <Paragraphs>4</Paragraphs>
  <TotalTime>2</TotalTime>
  <ScaleCrop>false</ScaleCrop>
  <LinksUpToDate>false</LinksUpToDate>
  <CharactersWithSpaces>1395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2021-01-19T23:13:00Z</dcterms:created>
  <dc:creator>Administrator</dc:creator>
  <cp:lastModifiedBy>kxcw</cp:lastModifiedBy>
  <dcterms:modified xsi:type="dcterms:W3CDTF">2024-09-20T15:09:50Z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77B1BE7FEFDDF52CBE1FED662B7C4216</vt:lpwstr>
  </property>
</Properties>
</file>